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EE" w:rsidRPr="00994DEE" w:rsidRDefault="00994DEE" w:rsidP="00994DEE">
      <w:pPr>
        <w:pStyle w:val="a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4DEE">
        <w:rPr>
          <w:rFonts w:ascii="Times New Roman" w:hAnsi="Times New Roman" w:cs="Times New Roman"/>
          <w:b/>
          <w:bCs/>
          <w:i/>
          <w:sz w:val="28"/>
          <w:szCs w:val="28"/>
        </w:rPr>
        <w:t>Г.С. Рогонян</w:t>
      </w:r>
    </w:p>
    <w:p w:rsidR="00994DEE" w:rsidRPr="00994DEE" w:rsidRDefault="00994DE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189" w:rsidRPr="00994DEE" w:rsidRDefault="005E6189" w:rsidP="00994DE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DEE">
        <w:rPr>
          <w:rFonts w:ascii="Times New Roman" w:hAnsi="Times New Roman" w:cs="Times New Roman"/>
          <w:b/>
          <w:bCs/>
          <w:sz w:val="28"/>
          <w:szCs w:val="28"/>
        </w:rPr>
        <w:t>Гегель, Витгенштейн и Макдауэл о границах мышления</w:t>
      </w:r>
    </w:p>
    <w:p w:rsidR="00627E63" w:rsidRPr="00994DEE" w:rsidRDefault="00627E63">
      <w:pPr>
        <w:pStyle w:val="a4"/>
        <w:jc w:val="both"/>
        <w:rPr>
          <w:rFonts w:ascii="Times New Roman" w:eastAsia="Charter Roman" w:hAnsi="Times New Roman" w:cs="Times New Roman"/>
          <w:sz w:val="28"/>
          <w:szCs w:val="28"/>
        </w:rPr>
      </w:pPr>
    </w:p>
    <w:p w:rsidR="00627E63" w:rsidRPr="00994DEE" w:rsidRDefault="006A3297">
      <w:pPr>
        <w:pStyle w:val="a4"/>
        <w:jc w:val="both"/>
        <w:rPr>
          <w:rFonts w:ascii="Times New Roman" w:hAnsi="Times New Roman" w:cs="Times New Roman"/>
        </w:rPr>
      </w:pPr>
      <w:r w:rsidRPr="00994DEE">
        <w:rPr>
          <w:rFonts w:ascii="Times New Roman" w:hAnsi="Times New Roman" w:cs="Times New Roman"/>
          <w:sz w:val="28"/>
          <w:szCs w:val="28"/>
        </w:rPr>
        <w:t>В докладе будут рассмотрены два варианта решения кантовской проблемы границ мышления и познания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Pr="00994DEE">
        <w:rPr>
          <w:rFonts w:ascii="Times New Roman" w:hAnsi="Times New Roman" w:cs="Times New Roman"/>
          <w:sz w:val="28"/>
          <w:szCs w:val="28"/>
        </w:rPr>
        <w:t>Один вариант представлен Г</w:t>
      </w:r>
      <w:r w:rsidRPr="00994DEE">
        <w:rPr>
          <w:rFonts w:ascii="Times New Roman" w:hAnsi="Times New Roman" w:cs="Times New Roman"/>
          <w:sz w:val="28"/>
          <w:szCs w:val="28"/>
        </w:rPr>
        <w:t>.</w:t>
      </w:r>
      <w:r w:rsidRPr="00994DEE">
        <w:rPr>
          <w:rFonts w:ascii="Times New Roman" w:hAnsi="Times New Roman" w:cs="Times New Roman"/>
          <w:sz w:val="28"/>
          <w:szCs w:val="28"/>
        </w:rPr>
        <w:t>В</w:t>
      </w:r>
      <w:r w:rsidRPr="00994DEE">
        <w:rPr>
          <w:rFonts w:ascii="Times New Roman" w:hAnsi="Times New Roman" w:cs="Times New Roman"/>
          <w:sz w:val="28"/>
          <w:szCs w:val="28"/>
        </w:rPr>
        <w:t>.</w:t>
      </w:r>
      <w:r w:rsidRPr="00994DEE">
        <w:rPr>
          <w:rFonts w:ascii="Times New Roman" w:hAnsi="Times New Roman" w:cs="Times New Roman"/>
          <w:sz w:val="28"/>
          <w:szCs w:val="28"/>
        </w:rPr>
        <w:t>Ф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Pr="00994DEE">
        <w:rPr>
          <w:rFonts w:ascii="Times New Roman" w:hAnsi="Times New Roman" w:cs="Times New Roman"/>
          <w:sz w:val="28"/>
          <w:szCs w:val="28"/>
        </w:rPr>
        <w:t>Гегелем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другой – Людвигом Витгенштейном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="00994DEE" w:rsidRPr="00994DEE">
        <w:rPr>
          <w:rFonts w:ascii="Times New Roman" w:hAnsi="Times New Roman" w:cs="Times New Roman"/>
          <w:sz w:val="28"/>
          <w:szCs w:val="28"/>
        </w:rPr>
        <w:t>Т. Пинкард и Р.</w:t>
      </w:r>
      <w:r w:rsidRPr="00994DEE">
        <w:rPr>
          <w:rFonts w:ascii="Times New Roman" w:hAnsi="Times New Roman" w:cs="Times New Roman"/>
          <w:sz w:val="28"/>
          <w:szCs w:val="28"/>
        </w:rPr>
        <w:t xml:space="preserve"> Пиппин указывают на </w:t>
      </w:r>
      <w:r w:rsidRPr="00994DEE">
        <w:rPr>
          <w:rFonts w:ascii="Times New Roman" w:hAnsi="Times New Roman" w:cs="Times New Roman"/>
          <w:sz w:val="28"/>
          <w:szCs w:val="28"/>
        </w:rPr>
        <w:t>параллели и расхождения в подходах Гегеля и Витгенштейна к этой проблеме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Pr="00994DEE">
        <w:rPr>
          <w:rFonts w:ascii="Times New Roman" w:hAnsi="Times New Roman" w:cs="Times New Roman"/>
          <w:sz w:val="28"/>
          <w:szCs w:val="28"/>
        </w:rPr>
        <w:t>При этом оба считают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что Гегель предложил более конструктивное решение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чем Витгенштейн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а именно</w:t>
      </w:r>
      <w:r w:rsidRPr="00994DEE">
        <w:rPr>
          <w:rFonts w:ascii="Times New Roman" w:hAnsi="Times New Roman" w:cs="Times New Roman"/>
          <w:sz w:val="28"/>
          <w:szCs w:val="28"/>
        </w:rPr>
        <w:t xml:space="preserve">: </w:t>
      </w:r>
      <w:r w:rsidRPr="00994DEE">
        <w:rPr>
          <w:rFonts w:ascii="Times New Roman" w:hAnsi="Times New Roman" w:cs="Times New Roman"/>
          <w:sz w:val="28"/>
          <w:szCs w:val="28"/>
        </w:rPr>
        <w:t>показал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как можно «снять» саму проблему границ мышления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если критически п</w:t>
      </w:r>
      <w:r w:rsidRPr="00994DEE">
        <w:rPr>
          <w:rFonts w:ascii="Times New Roman" w:hAnsi="Times New Roman" w:cs="Times New Roman"/>
          <w:sz w:val="28"/>
          <w:szCs w:val="28"/>
        </w:rPr>
        <w:t>одойти к понятию границы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Pr="00994DEE">
        <w:rPr>
          <w:rFonts w:ascii="Times New Roman" w:hAnsi="Times New Roman" w:cs="Times New Roman"/>
          <w:sz w:val="28"/>
          <w:szCs w:val="28"/>
        </w:rPr>
        <w:t>Соответственно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 xml:space="preserve">«снятие» границ между мышлением и миром позволяет Гегелю </w:t>
      </w:r>
      <w:r w:rsidRPr="00994DEE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Pr="00994DEE">
        <w:rPr>
          <w:rFonts w:ascii="Times New Roman" w:hAnsi="Times New Roman" w:cs="Times New Roman"/>
          <w:sz w:val="28"/>
          <w:szCs w:val="28"/>
        </w:rPr>
        <w:t>два тезиса</w:t>
      </w:r>
      <w:r w:rsidRPr="00994DEE">
        <w:rPr>
          <w:rFonts w:ascii="Times New Roman" w:hAnsi="Times New Roman" w:cs="Times New Roman"/>
          <w:sz w:val="28"/>
          <w:szCs w:val="28"/>
        </w:rPr>
        <w:t xml:space="preserve">: </w:t>
      </w:r>
      <w:r w:rsidRPr="00994DEE">
        <w:rPr>
          <w:rFonts w:ascii="Times New Roman" w:hAnsi="Times New Roman" w:cs="Times New Roman"/>
          <w:sz w:val="28"/>
          <w:szCs w:val="28"/>
        </w:rPr>
        <w:t>о безграничности концептуального и о тождестве форм мышления и объектов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Pr="00994DEE">
        <w:rPr>
          <w:rFonts w:ascii="Times New Roman" w:hAnsi="Times New Roman" w:cs="Times New Roman"/>
          <w:sz w:val="28"/>
          <w:szCs w:val="28"/>
        </w:rPr>
        <w:t>Джон Макдауэлл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однако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считает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что оба эти тезиса можно прип</w:t>
      </w:r>
      <w:r w:rsidRPr="00994DEE">
        <w:rPr>
          <w:rFonts w:ascii="Times New Roman" w:hAnsi="Times New Roman" w:cs="Times New Roman"/>
          <w:sz w:val="28"/>
          <w:szCs w:val="28"/>
        </w:rPr>
        <w:t>исать и философии позднего Витгенштейна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Pr="00994DEE">
        <w:rPr>
          <w:rFonts w:ascii="Times New Roman" w:hAnsi="Times New Roman" w:cs="Times New Roman"/>
          <w:sz w:val="28"/>
          <w:szCs w:val="28"/>
        </w:rPr>
        <w:t>Тем самым он хочет продемонстрировать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что гегелевский идеализм</w:t>
      </w:r>
      <w:r w:rsidRPr="00994DEE">
        <w:rPr>
          <w:rFonts w:ascii="Times New Roman" w:hAnsi="Times New Roman" w:cs="Times New Roman"/>
          <w:sz w:val="28"/>
          <w:szCs w:val="28"/>
        </w:rPr>
        <w:t xml:space="preserve"> вполне</w:t>
      </w:r>
      <w:r w:rsidRPr="00994DEE">
        <w:rPr>
          <w:rFonts w:ascii="Times New Roman" w:hAnsi="Times New Roman" w:cs="Times New Roman"/>
          <w:sz w:val="28"/>
          <w:szCs w:val="28"/>
        </w:rPr>
        <w:t xml:space="preserve"> согласуется с реализмом здравого смысла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Pr="00994DEE">
        <w:rPr>
          <w:rFonts w:ascii="Times New Roman" w:hAnsi="Times New Roman" w:cs="Times New Roman"/>
          <w:sz w:val="28"/>
          <w:szCs w:val="28"/>
        </w:rPr>
        <w:t>Кроме того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>Макдауэлл по</w:t>
      </w:r>
      <w:r w:rsidRPr="00994DEE">
        <w:rPr>
          <w:rFonts w:ascii="Times New Roman" w:hAnsi="Times New Roman" w:cs="Times New Roman"/>
          <w:sz w:val="28"/>
          <w:szCs w:val="28"/>
        </w:rPr>
        <w:t>-</w:t>
      </w:r>
      <w:r w:rsidRPr="00994DEE">
        <w:rPr>
          <w:rFonts w:ascii="Times New Roman" w:hAnsi="Times New Roman" w:cs="Times New Roman"/>
          <w:sz w:val="28"/>
          <w:szCs w:val="28"/>
        </w:rPr>
        <w:t>своему «снимает» проблему границ мышления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 xml:space="preserve">указав на мотивы для использования </w:t>
      </w:r>
      <w:r w:rsidRPr="00994DEE">
        <w:rPr>
          <w:rFonts w:ascii="Times New Roman" w:hAnsi="Times New Roman" w:cs="Times New Roman"/>
          <w:sz w:val="28"/>
          <w:szCs w:val="28"/>
        </w:rPr>
        <w:t>этого понятия</w:t>
      </w:r>
      <w:r w:rsidRPr="00994DEE">
        <w:rPr>
          <w:rFonts w:ascii="Times New Roman" w:hAnsi="Times New Roman" w:cs="Times New Roman"/>
          <w:sz w:val="28"/>
          <w:szCs w:val="28"/>
        </w:rPr>
        <w:t xml:space="preserve">. </w:t>
      </w:r>
      <w:r w:rsidRPr="00994DEE">
        <w:rPr>
          <w:rFonts w:ascii="Times New Roman" w:hAnsi="Times New Roman" w:cs="Times New Roman"/>
          <w:sz w:val="28"/>
          <w:szCs w:val="28"/>
        </w:rPr>
        <w:t>В докладе также будет предложена критика того</w:t>
      </w:r>
      <w:r w:rsidRPr="00994DEE">
        <w:rPr>
          <w:rFonts w:ascii="Times New Roman" w:hAnsi="Times New Roman" w:cs="Times New Roman"/>
          <w:sz w:val="28"/>
          <w:szCs w:val="28"/>
        </w:rPr>
        <w:t xml:space="preserve">, </w:t>
      </w:r>
      <w:r w:rsidRPr="00994DEE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r w:rsidRPr="00994DEE">
        <w:rPr>
          <w:rFonts w:ascii="Times New Roman" w:hAnsi="Times New Roman" w:cs="Times New Roman"/>
          <w:sz w:val="28"/>
          <w:szCs w:val="28"/>
        </w:rPr>
        <w:t>Пиппин пытается восстановить понятие границ мышления в контексте гегелевской философии</w:t>
      </w:r>
      <w:r w:rsidRPr="00994DEE">
        <w:rPr>
          <w:rFonts w:ascii="Times New Roman" w:hAnsi="Times New Roman" w:cs="Times New Roman"/>
          <w:sz w:val="28"/>
          <w:szCs w:val="28"/>
        </w:rPr>
        <w:t>.</w:t>
      </w:r>
    </w:p>
    <w:sectPr w:rsidR="00627E63" w:rsidRPr="00994DEE" w:rsidSect="00627E6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97" w:rsidRDefault="006A3297" w:rsidP="00627E63">
      <w:r>
        <w:separator/>
      </w:r>
    </w:p>
  </w:endnote>
  <w:endnote w:type="continuationSeparator" w:id="1">
    <w:p w:rsidR="006A3297" w:rsidRDefault="006A3297" w:rsidP="0062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harter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63" w:rsidRDefault="00627E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97" w:rsidRDefault="006A3297" w:rsidP="00627E63">
      <w:r>
        <w:separator/>
      </w:r>
    </w:p>
  </w:footnote>
  <w:footnote w:type="continuationSeparator" w:id="1">
    <w:p w:rsidR="006A3297" w:rsidRDefault="006A3297" w:rsidP="00627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63" w:rsidRDefault="00627E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E63"/>
    <w:rsid w:val="005E6189"/>
    <w:rsid w:val="00627E63"/>
    <w:rsid w:val="006A3297"/>
    <w:rsid w:val="009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E6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E63"/>
    <w:rPr>
      <w:u w:val="single"/>
    </w:rPr>
  </w:style>
  <w:style w:type="table" w:customStyle="1" w:styleId="TableNormal">
    <w:name w:val="Table Normal"/>
    <w:rsid w:val="00627E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627E63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2022-09-03T13:29:00Z</dcterms:created>
  <dcterms:modified xsi:type="dcterms:W3CDTF">2022-09-03T13:29:00Z</dcterms:modified>
</cp:coreProperties>
</file>